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деятельности</w:t>
      </w:r>
      <w:r>
        <w:rPr>
          <w:rFonts w:ascii="Times New Roman" w:hAnsi="Times New Roman"/>
          <w:b/>
          <w:sz w:val="28"/>
          <w:szCs w:val="28"/>
        </w:rPr>
        <w:t xml:space="preserve"> постоянн</w:t>
      </w:r>
      <w:r>
        <w:rPr>
          <w:rFonts w:ascii="Times New Roman" w:hAnsi="Times New Roman"/>
          <w:b/>
          <w:sz w:val="28"/>
          <w:szCs w:val="28"/>
        </w:rPr>
        <w:t xml:space="preserve">ого</w:t>
      </w:r>
      <w:r>
        <w:rPr>
          <w:rFonts w:ascii="Times New Roman" w:hAnsi="Times New Roman"/>
          <w:b/>
          <w:sz w:val="28"/>
          <w:szCs w:val="28"/>
        </w:rPr>
        <w:t xml:space="preserve"> комитет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 xml:space="preserve">Алтайского краевого Законодательного Собрания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экономической политике, промышленности и предпринимательству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за</w:t>
      </w:r>
      <w:r>
        <w:rPr>
          <w:rFonts w:ascii="Times New Roman" w:hAnsi="Times New Roman"/>
          <w:b/>
          <w:sz w:val="28"/>
          <w:szCs w:val="28"/>
        </w:rPr>
        <w:t xml:space="preserve"> январь – октябрь 2021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год</w:t>
      </w:r>
      <w:r>
        <w:rPr>
          <w:rFonts w:ascii="Times New Roman" w:hAnsi="Times New Roman"/>
          <w:b/>
          <w:sz w:val="28"/>
          <w:szCs w:val="28"/>
        </w:rPr>
        <w:t xml:space="preserve">а) и постоянного комитета Алтайского краевого Законодательного Собрания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строительству, жилищно-коммунальному хозяйству, транспорту и связи</w:t>
      </w:r>
      <w:r>
        <w:rPr>
          <w:rFonts w:ascii="Times New Roman" w:hAnsi="Times New Roman"/>
          <w:b/>
          <w:sz w:val="28"/>
          <w:szCs w:val="28"/>
        </w:rPr>
        <w:t xml:space="preserve"> (октябрь –декабрь 2021)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деятельность постоянного комитета Алтайского краевого Законодательного Собрания по экономической политике, промышленности и предпринимательству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октября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строительству, жилищно-коммунальному хозяйству, транспорту и связи</w:t>
      </w:r>
      <w:r>
        <w:rPr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в соответствии с Регламентом Алтайского краевого Законодательного Собрания,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о постоянных комитетах Алтайского краевого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, п</w:t>
      </w:r>
      <w:r>
        <w:rPr>
          <w:rFonts w:ascii="Times New Roman" w:hAnsi="Times New Roman" w:cs="Times New Roman"/>
          <w:sz w:val="28"/>
          <w:szCs w:val="28"/>
        </w:rPr>
        <w:t xml:space="preserve">лан</w:t>
      </w:r>
      <w:r>
        <w:rPr>
          <w:rFonts w:ascii="Times New Roman" w:hAnsi="Times New Roman" w:cs="Times New Roman"/>
          <w:sz w:val="28"/>
          <w:szCs w:val="28"/>
        </w:rPr>
        <w:t xml:space="preserve">ами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Алтайского краевого Законодательного Собрания на первое и второе полугодие 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была направлена на совершенствование нормативн</w:t>
      </w:r>
      <w:r>
        <w:rPr>
          <w:rFonts w:ascii="Times New Roman" w:hAnsi="Times New Roman" w:cs="Times New Roman"/>
          <w:sz w:val="28"/>
          <w:szCs w:val="28"/>
        </w:rPr>
        <w:t xml:space="preserve">ой</w:t>
      </w:r>
      <w:r>
        <w:rPr>
          <w:rFonts w:ascii="Times New Roman" w:hAnsi="Times New Roman" w:cs="Times New Roman"/>
          <w:sz w:val="28"/>
          <w:szCs w:val="28"/>
        </w:rPr>
        <w:t xml:space="preserve"> правовой базы</w:t>
      </w:r>
      <w:r>
        <w:rPr>
          <w:rFonts w:ascii="Times New Roman" w:hAnsi="Times New Roman" w:cs="Times New Roman"/>
          <w:sz w:val="28"/>
          <w:szCs w:val="28"/>
        </w:rPr>
        <w:t xml:space="preserve"> в сферах, относящихся к</w:t>
      </w:r>
      <w:r>
        <w:rPr>
          <w:rFonts w:ascii="Times New Roman" w:hAnsi="Times New Roman" w:cs="Times New Roman"/>
          <w:sz w:val="28"/>
          <w:szCs w:val="28"/>
        </w:rPr>
        <w:t xml:space="preserve"> вопросам ведения комитет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заседаний комитет</w:t>
      </w:r>
      <w:r>
        <w:rPr>
          <w:rFonts w:ascii="Times New Roman" w:hAnsi="Times New Roman" w:cs="Times New Roman"/>
          <w:sz w:val="28"/>
          <w:szCs w:val="28"/>
        </w:rPr>
        <w:t xml:space="preserve">ов (7+4)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условия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распространения новой коронавирусной инфекции заседани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комитета проводил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сь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TrueConf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комитета при </w:t>
      </w:r>
      <w:r>
        <w:rPr>
          <w:rFonts w:ascii="Times New Roman" w:hAnsi="Times New Roman" w:cs="Times New Roman"/>
          <w:sz w:val="28"/>
          <w:szCs w:val="28"/>
        </w:rPr>
        <w:t xml:space="preserve">участи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Общественной палаты Алтайского края, Счетной палаты Алтайского края,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 в Алтайском крае </w:t>
      </w:r>
      <w:r>
        <w:rPr>
          <w:rFonts w:ascii="Times New Roman" w:hAnsi="Times New Roman" w:cs="Times New Roman"/>
          <w:sz w:val="28"/>
          <w:szCs w:val="28"/>
        </w:rPr>
        <w:t xml:space="preserve">рассмотрен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(41+13)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феврале был рассмотрен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ситуации с обеспечением сжиженным углеводородным края газом населения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и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был проработан и предложен </w:t>
      </w:r>
      <w:r>
        <w:rPr>
          <w:rFonts w:ascii="Times New Roman" w:hAnsi="Times New Roman" w:cs="Times New Roman"/>
          <w:sz w:val="28"/>
          <w:szCs w:val="28"/>
        </w:rPr>
        <w:t xml:space="preserve">механизмы возмещения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выпадающих доходов ОАО «</w:t>
      </w:r>
      <w:r>
        <w:rPr>
          <w:rFonts w:ascii="Times New Roman" w:hAnsi="Times New Roman" w:cs="Times New Roman"/>
          <w:sz w:val="28"/>
          <w:szCs w:val="28"/>
        </w:rPr>
        <w:t xml:space="preserve">Алтайкрайгазсервис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и удалось избежать </w:t>
      </w:r>
      <w:r>
        <w:rPr>
          <w:rFonts w:ascii="Times New Roman" w:hAnsi="Times New Roman" w:cs="Times New Roman"/>
          <w:sz w:val="28"/>
          <w:szCs w:val="28"/>
        </w:rPr>
        <w:t xml:space="preserve">прекращения снабжение сжиженным газом населения Алтайского края.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Важным направлением работы комитет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 является мониторинг законодательства Алтайского края и приведение его в соответствие с федеральным.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истекший период 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по предметам ведения </w:t>
      </w:r>
      <w:r>
        <w:rPr>
          <w:rFonts w:ascii="Times New Roman" w:hAnsi="Times New Roman" w:cs="Times New Roman"/>
          <w:sz w:val="28"/>
          <w:szCs w:val="28"/>
        </w:rPr>
        <w:t xml:space="preserve">комитет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было разработано и принято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(14+3) </w:t>
      </w:r>
      <w:r>
        <w:rPr>
          <w:rFonts w:ascii="Times New Roman" w:hAnsi="Times New Roman" w:cs="Times New Roman"/>
          <w:sz w:val="28"/>
          <w:szCs w:val="28"/>
        </w:rPr>
        <w:t xml:space="preserve">закон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1 проект закона, принятый в первом чтении,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13 (9+4)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 Алтайского краевого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з них</w:t>
      </w:r>
      <w:r>
        <w:rPr>
          <w:rFonts w:ascii="Times New Roman" w:hAnsi="Times New Roman" w:cs="Times New Roman"/>
          <w:sz w:val="28"/>
          <w:szCs w:val="28"/>
        </w:rPr>
        <w:t xml:space="preserve"> 2 закона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12 закона Алтайского края  «О развитии малого и среднего предпринимательства в Алтайском крае»</w:t>
      </w:r>
      <w:r>
        <w:rPr>
          <w:rFonts w:ascii="Times New Roman" w:hAnsi="Times New Roman" w:cs="Times New Roman"/>
          <w:sz w:val="28"/>
          <w:szCs w:val="28"/>
        </w:rPr>
        <w:t xml:space="preserve"> и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ст</w:t>
      </w:r>
      <w:r>
        <w:rPr>
          <w:rFonts w:ascii="Times New Roman" w:hAnsi="Times New Roman" w:cs="Times New Roman"/>
          <w:sz w:val="28"/>
          <w:szCs w:val="28"/>
        </w:rPr>
        <w:t xml:space="preserve">атью 12 закона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 xml:space="preserve">инимательства в Алтайском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подготовлены комитетом </w:t>
      </w:r>
      <w:r>
        <w:rPr>
          <w:rFonts w:ascii="Times New Roman" w:hAnsi="Times New Roman" w:cs="Times New Roman"/>
          <w:sz w:val="28"/>
          <w:szCs w:val="28"/>
        </w:rPr>
        <w:t xml:space="preserve">по экономической политике, промышленности и предпринимательству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</w:rPr>
        <w:t xml:space="preserve">профильными ведомствами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следующим</w:t>
      </w:r>
      <w:r>
        <w:rPr>
          <w:rFonts w:ascii="Times New Roman" w:hAnsi="Times New Roman" w:cs="Times New Roman"/>
          <w:sz w:val="28"/>
          <w:szCs w:val="28"/>
        </w:rPr>
        <w:t xml:space="preserve"> вопросам </w:t>
      </w:r>
      <w:r>
        <w:rPr>
          <w:rFonts w:ascii="Times New Roman" w:hAnsi="Times New Roman" w:cs="Times New Roman"/>
          <w:sz w:val="28"/>
          <w:szCs w:val="28"/>
        </w:rPr>
        <w:t xml:space="preserve">«О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отчет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Губернатора</w:t>
      </w:r>
      <w: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Алтайского края, Председателя Правительства Алтайского края о результатах деятельности Правительства Алтайского края за 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деятельности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Уполномоченного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 защите прав предпринимателей в Алтайском крае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«Об отчете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 результатах приватизации государственного имущества Алтайского края за 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соответствии с частью 2-1 статьи 15 Закона Алтайского края от 4 мая 2016 года № 30-ЗС «О парламентском контроле в Алтайском крае» и статьей   107-4 Регламента Алтайского краев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ого Законодательного Собрания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комитет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рассмотрены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поступившие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проект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Правительства Алтайского края об утверждении государственных краевых программ и о внесении изменений в государственные краевые программы. 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закона Алтайского края от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мая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2017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№ 31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-ЗС «О приватизации государственного имущества,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находящегося в собственности Алтайского края»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установленном порядке рассмотрен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проект Прогнозного плана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(программы) приватизации государственного имущества Алтайского края 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2021 - 2023 годы. 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202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году продолжила свою работу рабочая группа по совершенствованию законодательства в области регулирования розничной продажи алкогольной и спиртосодержащей продукции. Проведено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одно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заседани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комитет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экономической политике, промышленности и предпринимательству</w:t>
      </w:r>
      <w:r>
        <w:rPr>
          <w:rFonts w:ascii="Times New Roman" w:hAnsi="Times New Roman"/>
          <w:sz w:val="28"/>
          <w:szCs w:val="28"/>
        </w:rPr>
        <w:t xml:space="preserve"> поступило и было рассмотрено в установленном порядке </w:t>
      </w:r>
      <w:r>
        <w:rPr>
          <w:rFonts w:ascii="Times New Roman" w:hAnsi="Times New Roman"/>
          <w:sz w:val="28"/>
          <w:szCs w:val="28"/>
        </w:rPr>
        <w:t xml:space="preserve">196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проектов Федеральных законов, из них </w:t>
      </w:r>
      <w:r>
        <w:rPr>
          <w:rFonts w:ascii="Times New Roman" w:hAnsi="Times New Roman"/>
          <w:sz w:val="28"/>
          <w:szCs w:val="28"/>
        </w:rPr>
        <w:t xml:space="preserve">50</w:t>
      </w:r>
      <w:r>
        <w:rPr>
          <w:rFonts w:ascii="Times New Roman" w:hAnsi="Times New Roman"/>
          <w:sz w:val="28"/>
          <w:szCs w:val="28"/>
        </w:rPr>
        <w:t xml:space="preserve"> принятых Государственной Думой Федерального Собрания Российской Федерации в первом чтении.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комитет</w:t>
      </w:r>
      <w:r>
        <w:rPr>
          <w:rFonts w:ascii="Times New Roman" w:hAnsi="Times New Roman"/>
          <w:sz w:val="28"/>
          <w:szCs w:val="28"/>
        </w:rPr>
        <w:t xml:space="preserve"> по строительству, жилищно-коммунальному хозяй</w:t>
      </w:r>
      <w:r>
        <w:rPr>
          <w:rFonts w:ascii="Times New Roman" w:hAnsi="Times New Roman"/>
          <w:sz w:val="28"/>
          <w:szCs w:val="28"/>
        </w:rPr>
        <w:t xml:space="preserve">ству, транспорту и связи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поступило и было рассмотрено в установленном порядке 16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проектов Федеральных законов, из них 9 принятых Государственной Думой Федерального Собрания Российской Федерации в первом чтении.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комитет</w:t>
      </w:r>
      <w:r>
        <w:rPr>
          <w:rFonts w:ascii="Times New Roman" w:hAnsi="Times New Roman"/>
          <w:sz w:val="28"/>
          <w:szCs w:val="28"/>
        </w:rPr>
        <w:t xml:space="preserve">ы поступило 75 (58+17) </w:t>
      </w:r>
      <w:r>
        <w:rPr>
          <w:rFonts w:ascii="Times New Roman" w:hAnsi="Times New Roman"/>
          <w:sz w:val="28"/>
          <w:szCs w:val="28"/>
        </w:rPr>
        <w:t xml:space="preserve">обращени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граждан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с</w:t>
      </w:r>
      <w:r>
        <w:rPr>
          <w:rFonts w:ascii="Times New Roman" w:hAnsi="Times New Roman"/>
          <w:sz w:val="28"/>
          <w:szCs w:val="28"/>
        </w:rPr>
        <w:t xml:space="preserve"> личн</w:t>
      </w:r>
      <w:r>
        <w:rPr>
          <w:rFonts w:ascii="Times New Roman" w:hAnsi="Times New Roman"/>
          <w:sz w:val="28"/>
          <w:szCs w:val="28"/>
        </w:rPr>
        <w:t xml:space="preserve">ых</w:t>
      </w:r>
      <w:r>
        <w:rPr>
          <w:rFonts w:ascii="Times New Roman" w:hAnsi="Times New Roman"/>
          <w:sz w:val="28"/>
          <w:szCs w:val="28"/>
        </w:rPr>
        <w:t xml:space="preserve"> прием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 председател</w:t>
      </w:r>
      <w:r>
        <w:rPr>
          <w:rFonts w:ascii="Times New Roman" w:hAnsi="Times New Roman"/>
          <w:sz w:val="28"/>
          <w:szCs w:val="28"/>
        </w:rPr>
        <w:t xml:space="preserve">ей</w:t>
      </w:r>
      <w:r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 и заместителей</w:t>
      </w:r>
      <w:r>
        <w:rPr>
          <w:rFonts w:ascii="Times New Roman" w:hAnsi="Times New Roman"/>
          <w:sz w:val="28"/>
          <w:szCs w:val="28"/>
        </w:rPr>
        <w:t xml:space="preserve"> председателей комитетов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Основная часть обращений касалась </w:t>
      </w:r>
      <w:r>
        <w:rPr>
          <w:rFonts w:ascii="Times New Roman" w:hAnsi="Times New Roman"/>
          <w:sz w:val="28"/>
          <w:szCs w:val="28"/>
        </w:rPr>
        <w:t xml:space="preserve">вопрос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, связанны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с благоустройством дворов, оплаты жилищно-коммунальных услуг, начисления ОДН, ремонта дорог, </w:t>
      </w:r>
      <w:r>
        <w:rPr>
          <w:rFonts w:ascii="Times New Roman" w:hAnsi="Times New Roman"/>
          <w:sz w:val="28"/>
          <w:szCs w:val="28"/>
        </w:rPr>
        <w:t xml:space="preserve">ограничения </w:t>
      </w:r>
      <w:r>
        <w:rPr>
          <w:rFonts w:ascii="Times New Roman" w:hAnsi="Times New Roman"/>
          <w:sz w:val="28"/>
          <w:szCs w:val="28"/>
        </w:rPr>
        <w:t xml:space="preserve">розничной продажи алкогольной продукции</w:t>
      </w:r>
      <w:r>
        <w:rPr>
          <w:rFonts w:ascii="Times New Roman" w:hAnsi="Times New Roman"/>
          <w:sz w:val="28"/>
          <w:szCs w:val="28"/>
        </w:rPr>
        <w:t xml:space="preserve">, узаконения самовольных строений</w:t>
      </w:r>
      <w:r>
        <w:rPr>
          <w:rFonts w:ascii="Times New Roman" w:hAnsi="Times New Roman"/>
          <w:sz w:val="28"/>
          <w:szCs w:val="28"/>
        </w:rPr>
        <w:t xml:space="preserve">, осуществления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Все они были рассмотрены в соответствии с положениями </w:t>
      </w:r>
      <w:r>
        <w:rPr>
          <w:rFonts w:ascii="Times New Roman" w:hAnsi="Times New Roman"/>
          <w:sz w:val="28"/>
          <w:szCs w:val="28"/>
        </w:rPr>
        <w:t xml:space="preserve">Федеральн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«</w:t>
      </w:r>
      <w:r>
        <w:rPr>
          <w:rFonts w:ascii="Times New Roman" w:hAnsi="Times New Roman"/>
          <w:sz w:val="28"/>
          <w:szCs w:val="28"/>
        </w:rPr>
        <w:t xml:space="preserve">О порядке рассмотрения обращений гр</w:t>
      </w:r>
      <w:r>
        <w:rPr>
          <w:rFonts w:ascii="Times New Roman" w:hAnsi="Times New Roman"/>
          <w:sz w:val="28"/>
          <w:szCs w:val="28"/>
        </w:rPr>
        <w:t xml:space="preserve">аждан Российской Федерации» от 2 мая </w:t>
      </w:r>
      <w:r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 59-ФЗ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комитеты поступило 6 поручений </w:t>
      </w:r>
      <w:r>
        <w:rPr>
          <w:rFonts w:ascii="Times New Roman" w:hAnsi="Times New Roman"/>
          <w:sz w:val="28"/>
          <w:szCs w:val="28"/>
        </w:rPr>
        <w:t xml:space="preserve">председателя А</w:t>
      </w:r>
      <w:r>
        <w:rPr>
          <w:rFonts w:ascii="Times New Roman" w:hAnsi="Times New Roman"/>
          <w:sz w:val="28"/>
          <w:szCs w:val="28"/>
        </w:rPr>
        <w:t xml:space="preserve">лтайского краевого Законодательного Собрания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исполнены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Одно</w:t>
      </w:r>
      <w:r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ручени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находятся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испонении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комитет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по строительству, жилищно-коммунальном</w:t>
      </w:r>
      <w:r>
        <w:rPr>
          <w:rFonts w:ascii="Times New Roman" w:hAnsi="Times New Roman"/>
          <w:sz w:val="28"/>
          <w:szCs w:val="28"/>
        </w:rPr>
        <w:t xml:space="preserve">у хозяйству, транспорту и связи.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равительственн</w:t>
      </w:r>
      <w:r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час</w:t>
      </w:r>
      <w:r>
        <w:rPr>
          <w:rFonts w:ascii="Times New Roman" w:hAnsi="Times New Roman"/>
          <w:sz w:val="28"/>
          <w:szCs w:val="28"/>
        </w:rPr>
        <w:t xml:space="preserve">а 2</w:t>
      </w:r>
      <w:r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ма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с отчетом выступил </w:t>
      </w:r>
      <w:r>
        <w:rPr>
          <w:rFonts w:ascii="Times New Roman" w:hAnsi="Times New Roman"/>
          <w:sz w:val="28"/>
          <w:szCs w:val="28"/>
        </w:rPr>
        <w:t xml:space="preserve">начальник</w:t>
      </w:r>
      <w:r>
        <w:rPr>
          <w:rFonts w:ascii="Times New Roman" w:hAnsi="Times New Roman"/>
          <w:sz w:val="28"/>
          <w:szCs w:val="28"/>
        </w:rPr>
        <w:t xml:space="preserve"> управления Алтайского края по развитию </w:t>
      </w:r>
      <w:r>
        <w:rPr>
          <w:rFonts w:ascii="Times New Roman" w:hAnsi="Times New Roman"/>
          <w:sz w:val="28"/>
          <w:szCs w:val="28"/>
        </w:rPr>
        <w:t xml:space="preserve">предпринимательства и рыночной инфраструктуры А.С. Евстигнеев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и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пециалисты </w:t>
      </w:r>
      <w:r>
        <w:rPr>
          <w:rFonts w:ascii="Times New Roman" w:hAnsi="Times New Roman"/>
          <w:sz w:val="28"/>
          <w:szCs w:val="28"/>
        </w:rPr>
        <w:t xml:space="preserve">комитет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 принимали </w:t>
      </w:r>
      <w:r>
        <w:rPr>
          <w:rFonts w:ascii="Times New Roman" w:hAnsi="Times New Roman"/>
          <w:sz w:val="28"/>
          <w:szCs w:val="28"/>
        </w:rPr>
        <w:t xml:space="preserve">участие в обучающих семинар</w:t>
      </w:r>
      <w:r>
        <w:rPr>
          <w:rFonts w:ascii="Times New Roman" w:hAnsi="Times New Roman"/>
          <w:sz w:val="28"/>
          <w:szCs w:val="28"/>
        </w:rPr>
        <w:t xml:space="preserve">ах</w:t>
      </w:r>
      <w:r>
        <w:rPr>
          <w:rFonts w:ascii="Times New Roman" w:hAnsi="Times New Roman"/>
          <w:sz w:val="28"/>
          <w:szCs w:val="28"/>
        </w:rPr>
        <w:t xml:space="preserve"> для депутатов представительных органов муниципальных </w:t>
      </w:r>
      <w:r>
        <w:rPr>
          <w:rFonts w:ascii="Times New Roman" w:hAnsi="Times New Roman"/>
          <w:sz w:val="28"/>
          <w:szCs w:val="28"/>
        </w:rPr>
        <w:t xml:space="preserve">образований края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заседания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Совета по взаимодействию Алтайского краевого Законодательного Собрания с представительными органами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состоял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t xml:space="preserve">одна </w:t>
      </w:r>
      <w:r>
        <w:rPr>
          <w:rFonts w:ascii="Times New Roman" w:hAnsi="Times New Roman"/>
          <w:sz w:val="28"/>
          <w:szCs w:val="28"/>
        </w:rPr>
        <w:t xml:space="preserve">интернет-конференци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с п</w:t>
      </w:r>
      <w:r>
        <w:rPr>
          <w:rFonts w:ascii="Times New Roman" w:hAnsi="Times New Roman"/>
          <w:sz w:val="28"/>
          <w:szCs w:val="28"/>
        </w:rPr>
        <w:t xml:space="preserve">редседател</w:t>
      </w:r>
      <w:r>
        <w:rPr>
          <w:rFonts w:ascii="Times New Roman" w:hAnsi="Times New Roman"/>
          <w:sz w:val="28"/>
          <w:szCs w:val="28"/>
        </w:rPr>
        <w:t xml:space="preserve">ем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экономической политике, промышленности и предпринимательству </w:t>
      </w:r>
      <w:r>
        <w:rPr>
          <w:rFonts w:ascii="Times New Roman" w:hAnsi="Times New Roman"/>
          <w:sz w:val="28"/>
          <w:szCs w:val="28"/>
        </w:rPr>
        <w:t xml:space="preserve">А.А. Луневым</w:t>
      </w:r>
      <w:r>
        <w:rPr>
          <w:rFonts w:ascii="Times New Roman" w:hAnsi="Times New Roman"/>
          <w:sz w:val="28"/>
          <w:szCs w:val="28"/>
        </w:rPr>
        <w:t xml:space="preserve">, в ходе котор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 xml:space="preserve">поступило 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вопросов. Ответы на вопросы были подготовлены своевременно.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течение года</w:t>
      </w:r>
      <w:r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 xml:space="preserve">ами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ровод</w:t>
      </w:r>
      <w:r>
        <w:rPr>
          <w:rFonts w:ascii="Times New Roman" w:hAnsi="Times New Roman"/>
          <w:sz w:val="28"/>
          <w:szCs w:val="28"/>
        </w:rPr>
        <w:t xml:space="preserve">ились</w:t>
      </w:r>
      <w:r>
        <w:rPr>
          <w:rFonts w:ascii="Times New Roman" w:hAnsi="Times New Roman"/>
          <w:sz w:val="28"/>
          <w:szCs w:val="28"/>
        </w:rPr>
        <w:t xml:space="preserve"> рабочие совещания по вопросам внесения изменений в 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осударственные программы Алтайского края, по обсуждению проектов законов по предметам ведения комитет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, по</w:t>
      </w:r>
      <w:r>
        <w:rPr>
          <w:rFonts w:ascii="Times New Roman" w:hAnsi="Times New Roman"/>
          <w:sz w:val="28"/>
          <w:szCs w:val="28"/>
        </w:rPr>
        <w:t xml:space="preserve"> 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обращений</w:t>
      </w:r>
      <w:r>
        <w:rPr>
          <w:rFonts w:ascii="Times New Roman" w:hAnsi="Times New Roman"/>
          <w:sz w:val="28"/>
          <w:szCs w:val="28"/>
        </w:rPr>
        <w:t xml:space="preserve"> граждан. </w:t>
      </w:r>
      <w:r>
        <w:rPr>
          <w:rFonts w:ascii="Times New Roman" w:hAnsi="Times New Roman"/>
          <w:sz w:val="28"/>
          <w:szCs w:val="28"/>
        </w:rPr>
        <w:t xml:space="preserve">Консультан</w:t>
      </w:r>
      <w:r>
        <w:rPr>
          <w:rFonts w:ascii="Times New Roman" w:hAnsi="Times New Roman"/>
          <w:sz w:val="28"/>
          <w:szCs w:val="28"/>
        </w:rPr>
        <w:t xml:space="preserve">тами</w:t>
      </w:r>
      <w:r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года </w:t>
      </w:r>
      <w:r>
        <w:rPr>
          <w:rFonts w:ascii="Times New Roman" w:hAnsi="Times New Roman"/>
          <w:sz w:val="28"/>
          <w:szCs w:val="28"/>
        </w:rPr>
        <w:t xml:space="preserve">своевременно осуществля</w:t>
      </w:r>
      <w:r>
        <w:rPr>
          <w:rFonts w:ascii="Times New Roman" w:hAnsi="Times New Roman"/>
          <w:sz w:val="28"/>
          <w:szCs w:val="28"/>
        </w:rPr>
        <w:t xml:space="preserve">лась подготовка </w:t>
      </w:r>
      <w:r>
        <w:rPr>
          <w:rFonts w:ascii="Times New Roman" w:hAnsi="Times New Roman"/>
          <w:sz w:val="28"/>
          <w:szCs w:val="28"/>
        </w:rPr>
        <w:t xml:space="preserve">сессионных документов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отзывов на проекты федеральных законов, информационно-аналитически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 xml:space="preserve">ов и</w:t>
      </w:r>
      <w:r>
        <w:rPr>
          <w:rFonts w:ascii="Times New Roman" w:hAnsi="Times New Roman"/>
          <w:sz w:val="28"/>
          <w:szCs w:val="28"/>
        </w:rPr>
        <w:t xml:space="preserve"> справ</w:t>
      </w:r>
      <w:r>
        <w:rPr>
          <w:rFonts w:ascii="Times New Roman" w:hAnsi="Times New Roman"/>
          <w:sz w:val="28"/>
          <w:szCs w:val="28"/>
        </w:rPr>
        <w:t xml:space="preserve">ок</w:t>
      </w:r>
      <w:r>
        <w:rPr>
          <w:rFonts w:ascii="Times New Roman" w:hAnsi="Times New Roman"/>
          <w:sz w:val="28"/>
          <w:szCs w:val="28"/>
        </w:rPr>
        <w:t xml:space="preserve"> для председателя Алтайского краевого Законодательного Собрания и членов комитета.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10"/>
        </w:numPr>
        <w:ind w:left="0" w:firstLine="0"/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Краткая характеристика основных нормативных правовых актов, принятых по вопросам комитета 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11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Закон Алтайского края от 10.02.2020 года № 4-ЗС «О признании утратившим силу закона Алтайского края «О реализации отдельных полномочий по распоряжению земельными участками, находящимися в государственной или муниципальной собственности»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Закон подготовлен в связи с тем, что в соответствии с действующими нормами федерального законодательства после 1 января 2020 положения закона № 123-3C не подлежат применению.</w:t>
      </w:r>
      <w:r/>
    </w:p>
    <w:p>
      <w:pPr>
        <w:numPr>
          <w:ilvl w:val="0"/>
          <w:numId w:val="11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Закон Алтайского края от 10.02.2020 года № 5-ЗС «О внесении изменений в закон Алтайского края «О бесплатном предоставлении в собственность земельных участков»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Закон был разработан на основе анализа правоприменительной практики реал</w:t>
      </w:r>
      <w:r>
        <w:rPr>
          <w:rFonts w:ascii="Times New Roman" w:hAnsi="Times New Roman" w:eastAsia="Calibri" w:cs="Times New Roman"/>
          <w:sz w:val="28"/>
          <w:szCs w:val="28"/>
        </w:rPr>
        <w:t xml:space="preserve">изации закона № 98-ЗС на территории Алтайского края, практики других регионов Российской Федерации и направлен на регулирование отношений по предоставлению гражданам, имеющим трех и более детей, в собственность бесплатно земельного участка для индивидуальн</w:t>
      </w:r>
      <w:r>
        <w:rPr>
          <w:rFonts w:ascii="Times New Roman" w:hAnsi="Times New Roman" w:eastAsia="Calibri" w:cs="Times New Roman"/>
          <w:sz w:val="28"/>
          <w:szCs w:val="28"/>
        </w:rPr>
        <w:t xml:space="preserve">ого жилищного строительства, ведения личного подсобного хозяйства в случае смерти ребенка или детей. Действовавшая ранее редакция закона не предусматривала сохранения права многодетного гражданина на бесплатное получение земельного участка в таком случае. </w:t>
      </w:r>
      <w:r/>
    </w:p>
    <w:p>
      <w:pPr>
        <w:numPr>
          <w:ilvl w:val="0"/>
          <w:numId w:val="11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Закон Алтайского края от 10.02.2020 года № 6-ЗС «О внесении изменений в закон Алтайского края «Об инвестиционной деятельн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ости в Алтайском крае» и закон Алтайского края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емельного участка, находящегося в собственности Алтайского края, муниципальной собственности, или земельного участка, государственная собственность на который не разграничена, и расположенного на территории Алтайского края, в аренду без проведения торгов» 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Законом уточнены критерии для масштабного и</w:t>
      </w:r>
      <w:r>
        <w:rPr>
          <w:rFonts w:ascii="Times New Roman" w:hAnsi="Times New Roman" w:eastAsia="Calibri" w:cs="Times New Roman"/>
          <w:sz w:val="28"/>
          <w:szCs w:val="28"/>
        </w:rPr>
        <w:t xml:space="preserve">нвестиционного проекта, являющиеся основанием для предоставления земельного участка в аренду без проведения торгов. Установлены количественные и качественные параметры объектов, строительство которых должно быть предусмотрено таким инвестиционным проектом.</w:t>
      </w:r>
      <w:r/>
    </w:p>
    <w:p>
      <w:pPr>
        <w:numPr>
          <w:ilvl w:val="0"/>
          <w:numId w:val="11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Закон Алтайского кра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я от 31.03.2020 года № 18-ЗС «О внесении изменения в статью 14 закона Алтайского края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Внесены изменения в части исполнения обязанности регионального оператора по осуществлению приемки оказанных услуг и (или) выполненных </w:t>
      </w:r>
      <w:r>
        <w:rPr>
          <w:rFonts w:ascii="Times New Roman" w:hAnsi="Times New Roman" w:eastAsia="Calibri" w:cs="Times New Roman"/>
          <w:sz w:val="28"/>
          <w:szCs w:val="28"/>
        </w:rPr>
        <w:t xml:space="preserve">работ по капитальному ремонту общего имущества в многоквартирных домах с участием в том числе органов местного самоуправления.</w:t>
      </w:r>
      <w:r/>
    </w:p>
    <w:p>
      <w:pPr>
        <w:numPr>
          <w:ilvl w:val="0"/>
          <w:numId w:val="11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Закон Алтайского края от 25.05.2020 № 29-ЗС «О внесении изменений в статью 10 закона Алтайского края «Об организации транспортного обслуживания населения в Алтайском крае» </w:t>
      </w:r>
      <w:r/>
    </w:p>
    <w:p>
      <w:pPr>
        <w:ind w:firstLine="709"/>
        <w:jc w:val="both"/>
        <w:spacing w:after="0" w:line="218" w:lineRule="auto"/>
        <w:widowControl w:val="off"/>
        <w:tabs>
          <w:tab w:val="left" w:pos="993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Законом к перечню обстоятельств для обращения в суд с заявлением о прекращении действия свидетельства об осуществлении перевозок по межму</w:t>
      </w:r>
      <w:r>
        <w:rPr>
          <w:rFonts w:ascii="Times New Roman" w:hAnsi="Times New Roman" w:eastAsia="Calibri" w:cs="Times New Roman"/>
          <w:sz w:val="28"/>
          <w:szCs w:val="28"/>
        </w:rPr>
        <w:t xml:space="preserve">ниципальному и муниципальному маршрутам регулярных перевозок добавляется новое: неоднократное (два и более раз) в течение календарного года привлечение перевозчика, к административной ответственности за совершение грубых нарушений лицензионных требований. </w:t>
      </w:r>
      <w:r/>
    </w:p>
    <w:p>
      <w:pPr>
        <w:numPr>
          <w:ilvl w:val="0"/>
          <w:numId w:val="11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Закон Алтайского края от 28.05.2020 № 32-ЗС «О внесении изменений в статью 21 закона Алтайского края «Об автомобильных дорогах и о дорожной деятельности в Алтайском крае» </w:t>
      </w:r>
      <w:r/>
    </w:p>
    <w:p>
      <w:pPr>
        <w:contextualSpacing/>
        <w:ind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Законом корректируется положения, регламентирующие движение по автомобильным дорогам крупногабаритного транспорта и транспорта осуществляющего перевозки опасных грузов.</w:t>
      </w:r>
      <w:r/>
    </w:p>
    <w:p>
      <w:pPr>
        <w:numPr>
          <w:ilvl w:val="0"/>
          <w:numId w:val="11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Закон Алтайского края от 8 июля 2020 года № 46-ЗС «О внесении изменений в статьи 6 и 6.1 закона Алтайского края «Об обращении с отходами производства и потребления в Алтайском крае»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Законом дополняются полномочия Правительства Алтайского края по утверждению порядка лишения юридического л</w:t>
      </w:r>
      <w:r>
        <w:rPr>
          <w:rFonts w:ascii="Times New Roman" w:hAnsi="Times New Roman" w:eastAsia="Calibri" w:cs="Times New Roman"/>
          <w:sz w:val="28"/>
          <w:szCs w:val="28"/>
        </w:rPr>
        <w:t xml:space="preserve">ица статуса регионального оператора по обращению с твердыми коммунальными отходами и полномочия Министерства строительства и жилищно-коммунального хозяйства Алтайского края по разработке проекта нормативного правового акта, устанавливающего данный порядок.</w:t>
      </w:r>
      <w:r/>
    </w:p>
    <w:p>
      <w:pPr>
        <w:numPr>
          <w:ilvl w:val="0"/>
          <w:numId w:val="11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Закон Алтайского края от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 4 сентября 2020 года № 50-ЗС «О внесении изменения в статью 5 закона Алтайского края «О 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Закон принят в целях расширения направлений использования средств капитального ремонта, в частности на установку коллективных (общедомовых) приборов учета потребления ресурсов, необходимых для предоставления коммунальных услуг.</w:t>
      </w:r>
      <w:r/>
    </w:p>
    <w:p>
      <w:pPr>
        <w:numPr>
          <w:ilvl w:val="0"/>
          <w:numId w:val="11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Закон Алтайского края от 4 сентября 2020 года № 59-ЗС «О регулировании отдельных отношений в сфере закупок товаров, работ, услуг для обеспечения государственных нужд в Алтайском крае»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 соответствии с нормами пункта 6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</w:t>
      </w:r>
      <w:r>
        <w:rPr>
          <w:rFonts w:ascii="Times New Roman" w:hAnsi="Times New Roman" w:eastAsia="Calibri" w:cs="Times New Roman"/>
          <w:sz w:val="28"/>
          <w:szCs w:val="28"/>
        </w:rPr>
        <w:t xml:space="preserve">пальных нужд» законом введено региональное регулирование по определению единственного поставщика работ, услуг для государственных нужд региона из числа государственных учреждений и унитарных предприятий, подведомственных органам исполнительной власти края.</w:t>
      </w:r>
      <w:r/>
    </w:p>
    <w:p>
      <w:pPr>
        <w:numPr>
          <w:ilvl w:val="0"/>
          <w:numId w:val="11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Закон Алтайского края от 15 октября 2020 года № 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72-ЗС О внесении изменений в закон Алтайского края «О развитии малого и среднего предпринимательства в Алтайском крае» и закон Алтайского края «О внесении изменений в закон Алтайского края «О развитии малого и среднего предпринимательства в Алтайском крае»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Законом предусматривается распространение мер государственной поддержки на физических лиц, не являющимся индивидуальными предпринимателями и применяющим специальный налоговый режим «Налог на профессиональный доход».</w:t>
      </w:r>
      <w:r/>
    </w:p>
    <w:p>
      <w:pPr>
        <w:numPr>
          <w:ilvl w:val="0"/>
          <w:numId w:val="11"/>
        </w:numPr>
        <w:contextualSpacing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Закон Алтайского края от 2 ноября 2020 года № 82-ЗС «О внесении изменений в закон Алтайского края «О бесплатном предоставлении в собственность земельных участков»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Закон подготовлен на основе анализа практики реализации За</w:t>
      </w:r>
      <w:r>
        <w:rPr>
          <w:rFonts w:ascii="Times New Roman" w:hAnsi="Times New Roman" w:eastAsia="Calibri" w:cs="Times New Roman"/>
          <w:sz w:val="28"/>
          <w:szCs w:val="28"/>
        </w:rPr>
        <w:t xml:space="preserve">кона № 98-ЗС в Алтайском крае, опыта других регионов, с учетом динамики федерального законодательства и направлен на совершенствование регулирования отношений по предоставлению гражданам, имеющим трех и более детей в собственность бесплатно земельного учас</w:t>
      </w:r>
      <w:r>
        <w:rPr>
          <w:rFonts w:ascii="Times New Roman" w:hAnsi="Times New Roman" w:eastAsia="Calibri" w:cs="Times New Roman"/>
          <w:sz w:val="28"/>
          <w:szCs w:val="28"/>
        </w:rPr>
        <w:t xml:space="preserve">тка для индивидуального жилищного строительства, ведения личного подсобного хозяйства. В том числе законом до 1 марта 2022 года продлевается срок, позволяющий предоставлять гражданам в собственность бесплатно земельные участки под самовольными постройками.</w:t>
      </w:r>
      <w:r/>
    </w:p>
    <w:p>
      <w:pPr>
        <w:numPr>
          <w:ilvl w:val="0"/>
          <w:numId w:val="11"/>
        </w:numPr>
        <w:contextualSpacing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 Закон Алтайского края от 2 ноября 2020 года № 83-ЗС «О внесении изменений в отдельные законы Алтайского края»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Законом внесены изменения, направленные на обеспечение согласованности стратегического и территориального планирования. Закон № 120-ЗС допо</w:t>
      </w:r>
      <w:r>
        <w:rPr>
          <w:rFonts w:ascii="Times New Roman" w:hAnsi="Times New Roman" w:eastAsia="Calibri" w:cs="Times New Roman"/>
          <w:sz w:val="28"/>
          <w:szCs w:val="28"/>
        </w:rPr>
        <w:t xml:space="preserve">лнен нормами о сроках согласования изменений, вносимых в утвержденные документы территориального планирования. Также уточнено содержание нормативов градостроительного проектирования Алтайского края. Кроме того, законом уточнено понятие проблемного объекта.</w:t>
      </w:r>
      <w:r/>
    </w:p>
    <w:p>
      <w:pPr>
        <w:numPr>
          <w:ilvl w:val="0"/>
          <w:numId w:val="11"/>
        </w:numPr>
        <w:contextualSpacing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Закон Алтайского края от 02.11.2020 № 84-ЗС «О внесении изменений в статьи 19 и 21 закона Алтайского края «Об автомобильных дорогах и о дорожной деятельности в Алтайском крае» 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Законо</w:t>
      </w:r>
      <w:r>
        <w:rPr>
          <w:rFonts w:ascii="Times New Roman" w:hAnsi="Times New Roman" w:eastAsia="Calibri" w:cs="Times New Roman"/>
          <w:sz w:val="28"/>
          <w:szCs w:val="28"/>
        </w:rPr>
        <w:t xml:space="preserve">м регламентируется установление для владельцев частных автомобильных дорог необщего пользования возможности передвижения на тяжеловесных и (или) крупногабаритных транспортных средствах по своим автомобильным дорогам без оформления специального разрешения. </w:t>
      </w:r>
      <w:r/>
    </w:p>
    <w:p>
      <w:pPr>
        <w:numPr>
          <w:ilvl w:val="0"/>
          <w:numId w:val="11"/>
        </w:numPr>
        <w:contextualSpacing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Закон Алтайского края от 3 декабря 2020года № 97-ЗС «О внесении изменений в закон Алтайского края «Об инвестиционной деятельности в Алтайском крае» 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Закон на</w:t>
      </w:r>
      <w:r>
        <w:rPr>
          <w:rFonts w:ascii="Times New Roman" w:hAnsi="Times New Roman" w:eastAsia="Calibri" w:cs="Times New Roman"/>
          <w:sz w:val="28"/>
          <w:szCs w:val="28"/>
        </w:rPr>
        <w:t xml:space="preserve">правлен на обеспечения правовых основ для использования механизма соглашений о защите и поощрении капиталовложений на региональном уровне и предусматривает предоставление Правительству Алтайского края полномочий в сфере защиты и поощрения капиталовложений.</w:t>
      </w:r>
      <w:r/>
    </w:p>
    <w:p>
      <w:pPr>
        <w:numPr>
          <w:ilvl w:val="0"/>
          <w:numId w:val="11"/>
        </w:numPr>
        <w:contextualSpacing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Закон Алтайского края от 4 декабря 2020 года № 99-ЗС «О внесении изменений в статью 2 закона Алтайского края «О полномочиях органов 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государственной власти Алтайского края в сфере управления и распоряжения земельными участками в Алтайском крае»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Законом признается утратившим силу полномочие Алтайского краевого З</w:t>
      </w:r>
      <w:r>
        <w:rPr>
          <w:rFonts w:ascii="Times New Roman" w:hAnsi="Times New Roman" w:eastAsia="Calibri" w:cs="Times New Roman"/>
          <w:sz w:val="28"/>
          <w:szCs w:val="28"/>
        </w:rPr>
        <w:t xml:space="preserve">аконодательного Собрания по утверждение границ пригородных зон и их правового режима. Также корректируется полномочие Алтайского краевого Законодательного Собрания, закрепив возможность установления предельных максимальных цен кадастровых работ не только в</w:t>
      </w:r>
      <w:r>
        <w:rPr>
          <w:rFonts w:ascii="Times New Roman" w:hAnsi="Times New Roman" w:eastAsia="Calibri" w:cs="Times New Roman"/>
          <w:sz w:val="28"/>
          <w:szCs w:val="28"/>
        </w:rPr>
        <w:t xml:space="preserve"> отношении земельных участков, предназначенных для ведения личного подсобного хозяйства, огородничества, садоводства, индивидуального гаражного и индивидуального жилищного строительства, но и расположенных на таких земельных участках объектов недвижимости.</w:t>
      </w:r>
      <w:r/>
    </w:p>
    <w:p>
      <w:pPr>
        <w:numPr>
          <w:ilvl w:val="0"/>
          <w:numId w:val="11"/>
        </w:numPr>
        <w:contextualSpacing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Закон Алтайского края от 22 декабря 2020 № 101-ЗС «О внесении изменений в закон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Законом устанавливается, что розн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еющих зал обслуживания посетителей общей площадью не менее 30 квадратных метров. Для того, чтобы субъекты малого и среднего предпринимательства имели возможность подготовится к введению данной нормы, предполагается ее вступление в силу с 1 марта 2021 года.</w:t>
      </w:r>
      <w:r/>
    </w:p>
    <w:p>
      <w:pPr>
        <w:numPr>
          <w:ilvl w:val="0"/>
          <w:numId w:val="11"/>
        </w:numPr>
        <w:contextualSpacing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Закон Алтайского края от 22.12.2020 г. № 102-ЗС «О внесении изменений в статьи 17-1 и 21 закона Алтайского края «О предоставлении жилых помещений государственного жилищного фонда Алтайского края»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Проектом закона уточняется полномочие органа исполнительно</w:t>
      </w:r>
      <w:r>
        <w:rPr>
          <w:rFonts w:ascii="Times New Roman" w:hAnsi="Times New Roman" w:eastAsia="Calibri" w:cs="Times New Roman"/>
          <w:sz w:val="28"/>
          <w:szCs w:val="28"/>
        </w:rPr>
        <w:t xml:space="preserve">й власти Алтайского края в сфере жилищно-коммунального хозяйства (Минстрой Алтайского края) по формированию списка детей (лиц), оставшихся без попечения родителей, а также лиц, которые относились к категории детей (лиц), оставшихся без попечения родителей.</w:t>
      </w:r>
      <w:r/>
    </w:p>
    <w:p>
      <w:pPr>
        <w:numPr>
          <w:ilvl w:val="0"/>
          <w:numId w:val="12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Постановление Алтайского краевого Законодательного Собрания от 1.06.2020 № 149 «Об отчете Губернатора Алтайского края о результатах деятельности Правительства Алтайского края за 2019 год»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Постановление содержит характеристику результатов социально-экономического развития Алтайского края за 2019 год, информацию о принятых и реализован</w:t>
      </w:r>
      <w:r>
        <w:rPr>
          <w:rFonts w:ascii="Times New Roman" w:hAnsi="Times New Roman" w:eastAsia="Calibri" w:cs="Times New Roman"/>
          <w:sz w:val="28"/>
          <w:szCs w:val="28"/>
        </w:rPr>
        <w:t xml:space="preserve">ных за отчетный период Правительством Алтайского края мерах по развитию экономики и социальной сферы, в том числе по содействию в реализации инвестиционных проектов, государственной поддержке бизнеса и отдельных отраслей экономики, повышению доступности и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качества образовательных, медицинских, социальных услуг, а также по модернизации транспортной и инженерной инфраструктуры. Кроме того, в документе обозначены первоочередные задачи и перспективы социально-экономического развития Алтайского края на 2020 год.</w:t>
      </w:r>
      <w:r/>
    </w:p>
    <w:p>
      <w:pPr>
        <w:numPr>
          <w:ilvl w:val="0"/>
          <w:numId w:val="12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Постановление Алтайского краевого Законодательного Собрания от 01.06.2020 № 150 «Об отчете о результатах приватизации государственного имущества Алтайского края за 2019 год»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В соответствии со статьей 8 закона Алтайского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края от 3 мая 2017 года № 31-ЗС «О приватизации государственного имущества, находящегося в собственности Алтайского края» Алтайское краевое Законодательное Собрание рассматривает отчет о результатах приватизации государственного имущества за прошедший год.</w:t>
      </w:r>
      <w:r/>
    </w:p>
    <w:p>
      <w:pPr>
        <w:numPr>
          <w:ilvl w:val="0"/>
          <w:numId w:val="12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Постановление Алтайского краевого Законодательного Собрания от 01.06.2020 № 151 «О деятельности Уполномоченного по защите прав предпринимателей в Алтайском крае в 2019 году»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Проект постановления подготовлен на основании доклада Уполномоченного по защите прав предпринимателей в Алтай</w:t>
      </w:r>
      <w:r>
        <w:rPr>
          <w:rFonts w:ascii="Times New Roman" w:hAnsi="Times New Roman" w:eastAsia="Calibri" w:cs="Times New Roman"/>
          <w:sz w:val="28"/>
          <w:szCs w:val="28"/>
        </w:rPr>
        <w:t xml:space="preserve">ском крае и его деятельности в 2019 году. В проекте постановления содержится характеристика основных направлений деятельности Уполномоченного по защите прав предпринимателей в Алтайском крае, а также рекомендации уполномоченным органам и должностным лицам.</w:t>
      </w:r>
      <w:r/>
    </w:p>
    <w:p>
      <w:pPr>
        <w:numPr>
          <w:ilvl w:val="0"/>
          <w:numId w:val="12"/>
        </w:numPr>
        <w:contextualSpacing/>
        <w:ind w:left="0"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Постановление Алтайского краевого Законодательного Собрания от 03.07.2020 года № 190 «О протесте прокурора Алтайского края на закон Ал-тайского края «Об инвестиционной деятельности в Алтайском крае»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Постановления подготовлено на основании рассмотрения протеста прокурора Алтайского края от 5 июня 2020 года № 07-09-2020/70</w:t>
      </w:r>
      <w:r>
        <w:rPr>
          <w:rFonts w:ascii="Times New Roman" w:hAnsi="Times New Roman" w:eastAsia="Calibri" w:cs="Times New Roman"/>
          <w:sz w:val="28"/>
          <w:szCs w:val="28"/>
        </w:rPr>
        <w:t xml:space="preserve">44 на закон Алтайского края от 3 апреля 2014 года № 21-ЗС «Об инвестиционной деятельности в Алтайском крае». Комитету поручено изучить доводы, изложенные в протесте прокурора, а по результатам рассмотрения подготовить соответствующий проект правового акта.</w:t>
      </w:r>
      <w:r/>
    </w:p>
    <w:p>
      <w:pPr>
        <w:numPr>
          <w:ilvl w:val="0"/>
          <w:numId w:val="12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Постановление Алтайского краевого Законодательного Собрания «О даче согласия на назначение на должность директора краевого государственного унитарного предприятия «Гостиница «Славгород»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 соответствии со статьей 9.1 закона Алтайского края от 14.09.2006 № 98-ЗС «О порядке управления и </w:t>
      </w:r>
      <w:r>
        <w:rPr>
          <w:rFonts w:ascii="Times New Roman" w:hAnsi="Times New Roman" w:eastAsia="Calibri" w:cs="Times New Roman"/>
          <w:sz w:val="28"/>
          <w:szCs w:val="28"/>
        </w:rPr>
        <w:t xml:space="preserve">распоряжения государственной собственностью Алтайского края» Алтайским краевым Законодательным Собранием согласовано назначение Фетисенкова Игоря Станиславовича на должность директора краевого государственного унитарного предприятия «Гостиница «Славгород».</w:t>
      </w:r>
      <w:r/>
    </w:p>
    <w:p>
      <w:pPr>
        <w:numPr>
          <w:ilvl w:val="0"/>
          <w:numId w:val="12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Постан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овление Алтайского краевого Законодательного Собрания от 23.10.2020 № 289 «О продлении срока рассмотрения проекта закона «Об утверждении стратегии социально-экономического развития Алтайского края до 2035 года» в Алтайском краевом Законодательном Собрании»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 соответствии со статьей 73 Устава (Основного Закона) Алтайского края, статьей 38 Регламента Ал</w:t>
      </w:r>
      <w:r>
        <w:rPr>
          <w:rFonts w:ascii="Times New Roman" w:hAnsi="Times New Roman" w:eastAsia="Calibri" w:cs="Times New Roman"/>
          <w:sz w:val="28"/>
          <w:szCs w:val="28"/>
        </w:rPr>
        <w:t xml:space="preserve">тайского краевого Законодательного Собрания, Алтайским краевым Законодательным Собранием продлен срок рассмотрения проекта закона Алтайского края «Об утверждении стратегии социально-экономического развития Алтайского края до 2035 года» в Алтайском краевом </w:t>
      </w:r>
      <w:r>
        <w:rPr>
          <w:rFonts w:ascii="Times New Roman" w:hAnsi="Times New Roman" w:eastAsia="Calibri" w:cs="Times New Roman"/>
          <w:sz w:val="28"/>
          <w:szCs w:val="28"/>
        </w:rPr>
        <w:t xml:space="preserve">Законодательном Собрании.</w:t>
      </w:r>
      <w:r/>
    </w:p>
    <w:p>
      <w:pPr>
        <w:numPr>
          <w:ilvl w:val="0"/>
          <w:numId w:val="12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Постановление Алтайского краевого Законодательного Собрания от 27.11.2020 г. № 340 «О досрочном прекращении полномочий Уполномоченного по защите прав предпринимателей в Алтайском крае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Проект постановления подготовлен в связи с заявлением Нестерова П.А. о досрочном прекращении полномочий Уполномоченного по защите прав предпринимателей в Алтайском крае.</w:t>
      </w:r>
      <w:r/>
    </w:p>
    <w:p>
      <w:pPr>
        <w:numPr>
          <w:ilvl w:val="0"/>
          <w:numId w:val="12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Постановление Алтайского краевого Законодательного Собрания от 27.11.2020 г. № 341 «О назначении Уполномоченного по защите прав предпринимателей в Алтайском крае» 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 связи с досрочным прекращением полномочий Уполномоченного по защите прав предпринимателей в Алтайском крае Нестерова П.А. в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соответствии с частью2 статьи 4 закона Алтайского края от 4 сентября 2013 года № 48-ЗС «Об Уполномоченном по защите прав предпринимателей в Алтайском крае» постановления Уполномоченным по защите прав предпринимателей в Алтайском крае назначен Осипов А. Г.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88914328"/>
      <w:docPartObj>
        <w:docPartGallery w:val="Page Numbers (Top of Page)"/>
        <w:docPartUnique w:val="true"/>
      </w:docPartObj>
      <w:rPr/>
    </w:sdtPr>
    <w:sdtContent>
      <w:p>
        <w:pPr>
          <w:pStyle w:val="691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  <w:p>
    <w:pPr>
      <w:pStyle w:val="69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7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859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931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003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1075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147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219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291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363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" w:hanging="360"/>
      </w:pPr>
      <w:rPr>
        <w:rFonts w:hint="default"/>
        <w:b/>
        <w:color w:val="000000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7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2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9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6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3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836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2"/>
    <w:next w:val="68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83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2"/>
    <w:next w:val="68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8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2"/>
    <w:next w:val="68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8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2"/>
    <w:next w:val="68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8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2"/>
    <w:next w:val="68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8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2"/>
    <w:next w:val="68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8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2"/>
    <w:next w:val="68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8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2"/>
    <w:next w:val="68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8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2"/>
    <w:next w:val="68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8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2"/>
    <w:next w:val="68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83"/>
    <w:link w:val="33"/>
    <w:uiPriority w:val="10"/>
    <w:rPr>
      <w:sz w:val="48"/>
      <w:szCs w:val="48"/>
    </w:rPr>
  </w:style>
  <w:style w:type="paragraph" w:styleId="35">
    <w:name w:val="Subtitle"/>
    <w:basedOn w:val="682"/>
    <w:next w:val="68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83"/>
    <w:link w:val="35"/>
    <w:uiPriority w:val="11"/>
    <w:rPr>
      <w:sz w:val="24"/>
      <w:szCs w:val="24"/>
    </w:rPr>
  </w:style>
  <w:style w:type="paragraph" w:styleId="37">
    <w:name w:val="Quote"/>
    <w:basedOn w:val="682"/>
    <w:next w:val="68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2"/>
    <w:next w:val="68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83"/>
    <w:link w:val="691"/>
    <w:uiPriority w:val="99"/>
  </w:style>
  <w:style w:type="character" w:styleId="44">
    <w:name w:val="Footer Char"/>
    <w:basedOn w:val="683"/>
    <w:link w:val="696"/>
    <w:uiPriority w:val="99"/>
  </w:style>
  <w:style w:type="paragraph" w:styleId="45">
    <w:name w:val="Caption"/>
    <w:basedOn w:val="682"/>
    <w:next w:val="6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96"/>
    <w:uiPriority w:val="99"/>
  </w:style>
  <w:style w:type="table" w:styleId="47">
    <w:name w:val="Table Grid"/>
    <w:basedOn w:val="68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83"/>
    <w:uiPriority w:val="99"/>
    <w:unhideWhenUsed/>
    <w:rPr>
      <w:vertAlign w:val="superscript"/>
    </w:rPr>
  </w:style>
  <w:style w:type="paragraph" w:styleId="177">
    <w:name w:val="endnote text"/>
    <w:basedOn w:val="68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83"/>
    <w:uiPriority w:val="99"/>
    <w:semiHidden/>
    <w:unhideWhenUsed/>
    <w:rPr>
      <w:vertAlign w:val="superscript"/>
    </w:rPr>
  </w:style>
  <w:style w:type="paragraph" w:styleId="180">
    <w:name w:val="toc 1"/>
    <w:basedOn w:val="682"/>
    <w:next w:val="68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2"/>
    <w:next w:val="68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2"/>
    <w:next w:val="68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2"/>
    <w:next w:val="68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2"/>
    <w:next w:val="68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2"/>
    <w:next w:val="68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2"/>
    <w:next w:val="68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2"/>
    <w:next w:val="68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2"/>
    <w:next w:val="68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2"/>
    <w:next w:val="682"/>
    <w:uiPriority w:val="99"/>
    <w:unhideWhenUsed/>
    <w:pPr>
      <w:spacing w:after="0" w:afterAutospacing="0"/>
    </w:pPr>
  </w:style>
  <w:style w:type="paragraph" w:styleId="682" w:default="1">
    <w:name w:val="Normal"/>
    <w:qFormat/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paragraph" w:styleId="686" w:customStyle="1">
    <w:name w:val="ConsPlusNormal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687" w:customStyle="1">
    <w:name w:val="st"/>
    <w:basedOn w:val="683"/>
  </w:style>
  <w:style w:type="paragraph" w:styleId="688">
    <w:name w:val="List Paragraph"/>
    <w:basedOn w:val="682"/>
    <w:uiPriority w:val="34"/>
    <w:qFormat/>
    <w:pPr>
      <w:contextualSpacing/>
      <w:ind w:left="720"/>
      <w:spacing w:after="200" w:line="276" w:lineRule="auto"/>
    </w:pPr>
  </w:style>
  <w:style w:type="paragraph" w:styleId="689">
    <w:name w:val="Normal (Web)"/>
    <w:basedOn w:val="682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0" w:customStyle="1">
    <w:name w:val="Прижатый влево"/>
    <w:basedOn w:val="682"/>
    <w:next w:val="682"/>
    <w:uiPriority w:val="99"/>
    <w:pPr>
      <w:spacing w:after="0" w:line="240" w:lineRule="auto"/>
    </w:pPr>
    <w:rPr>
      <w:rFonts w:ascii="Arial" w:hAnsi="Arial" w:eastAsia="Times New Roman" w:cs="Arial"/>
      <w:sz w:val="24"/>
      <w:szCs w:val="24"/>
      <w:lang w:eastAsia="ru-RU"/>
    </w:rPr>
  </w:style>
  <w:style w:type="paragraph" w:styleId="691">
    <w:name w:val="Header"/>
    <w:basedOn w:val="682"/>
    <w:link w:val="69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2" w:customStyle="1">
    <w:name w:val="Верхний колонтитул Знак"/>
    <w:basedOn w:val="683"/>
    <w:link w:val="691"/>
    <w:uiPriority w:val="99"/>
  </w:style>
  <w:style w:type="character" w:styleId="693">
    <w:name w:val="Strong"/>
    <w:basedOn w:val="683"/>
    <w:uiPriority w:val="22"/>
    <w:qFormat/>
    <w:rPr>
      <w:b/>
      <w:bCs/>
    </w:rPr>
  </w:style>
  <w:style w:type="paragraph" w:styleId="694">
    <w:name w:val="Balloon Text"/>
    <w:basedOn w:val="682"/>
    <w:link w:val="69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95" w:customStyle="1">
    <w:name w:val="Текст выноски Знак"/>
    <w:basedOn w:val="683"/>
    <w:link w:val="694"/>
    <w:uiPriority w:val="99"/>
    <w:semiHidden/>
    <w:rPr>
      <w:rFonts w:ascii="Segoe UI" w:hAnsi="Segoe UI" w:cs="Segoe UI"/>
      <w:sz w:val="18"/>
      <w:szCs w:val="18"/>
    </w:rPr>
  </w:style>
  <w:style w:type="paragraph" w:styleId="696">
    <w:name w:val="Footer"/>
    <w:basedOn w:val="682"/>
    <w:link w:val="69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7" w:customStyle="1">
    <w:name w:val="Нижний колонтитул Знак"/>
    <w:basedOn w:val="683"/>
    <w:link w:val="696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5ACFC-FCE8-4535-9949-B78CEB1E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revision>5</cp:revision>
  <dcterms:created xsi:type="dcterms:W3CDTF">2021-12-14T07:05:00Z</dcterms:created>
  <dcterms:modified xsi:type="dcterms:W3CDTF">2023-02-07T04:41:23Z</dcterms:modified>
</cp:coreProperties>
</file>